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MODELO 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ANÁLISE DE RISCO DA CONTRATAÇÃO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RISCOS DO PROCESSO DE CONTRATAÇÃO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1-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RISCOS - FASE DE PLANEJAMENTO</w:t>
      </w: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50"/>
        <w:gridCol w:w="1115"/>
        <w:gridCol w:w="2960"/>
        <w:gridCol w:w="3095"/>
        <w:tblGridChange w:id="0">
          <w:tblGrid>
            <w:gridCol w:w="1850"/>
            <w:gridCol w:w="1115"/>
            <w:gridCol w:w="2960"/>
            <w:gridCol w:w="309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Risco 1</w:t>
            </w:r>
          </w:p>
        </w:tc>
        <w:tc>
          <w:tcPr>
            <w:gridSpan w:val="3"/>
            <w:tcBorders>
              <w:top w:color="000001" w:space="0" w:sz="6" w:val="single"/>
              <w:left w:color="000000" w:space="0" w:sz="0" w:val="nil"/>
              <w:bottom w:color="000001" w:space="0" w:sz="6" w:val="single"/>
              <w:right w:color="000001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Deficiência na definição da demanda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Probabilidade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ff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Média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41.73228346456688" w:right="20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Dano potencial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Superdimensionamento ou subdimensionamento da demanda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Preventiva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141.7322834645671" w:right="200" w:hanging="7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76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Qualificação da equipe de planejamento; conhecimento do escopo.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41.7322834645671" w:right="100" w:hanging="7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Equipe de Planejamento da Contratação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de Contingência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141.7322834645671" w:right="200" w:hanging="7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Restabelecimento da demanda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41.7322834645671" w:right="300" w:hanging="7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Equipe de Planejamento da Contratação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tbl>
      <w:tblPr>
        <w:tblStyle w:val="Table2"/>
        <w:tblW w:w="90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0"/>
        <w:gridCol w:w="1115"/>
        <w:gridCol w:w="3065"/>
        <w:gridCol w:w="2945"/>
        <w:tblGridChange w:id="0">
          <w:tblGrid>
            <w:gridCol w:w="1910"/>
            <w:gridCol w:w="1115"/>
            <w:gridCol w:w="3065"/>
            <w:gridCol w:w="294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Risco 2</w:t>
            </w:r>
          </w:p>
        </w:tc>
        <w:tc>
          <w:tcPr>
            <w:gridSpan w:val="3"/>
            <w:tcBorders>
              <w:top w:color="000001" w:space="0" w:sz="6" w:val="single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41.7322834645668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Não aprovação do Estudo Técnico ou do Termo de Referência.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Probabilidade: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92d05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Baixa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41.73228346456688" w:right="120.70866141732267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Dano potencial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Atraso no processo de contratação e, consequentemente, atraso no início da prestação do serviço.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41.73228346456688" w:right="220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Preventiva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283.4645669291342" w:right="200" w:hanging="7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41.73228346456688" w:right="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Instruir o Estudo Técnico e o Termo de Referência em estrita aderência às disposições dos normativos aplicados à contratação.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283.4645669291342" w:right="100" w:hanging="7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Equipe de Planejamento da Contratação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141.73228346456688" w:right="56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de Contingência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283.4645669291342" w:right="200" w:hanging="7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141.7322834645668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Exposição do arcabouço legal em que a contratação de serviços de limpeza deva seguir.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283.4645669291342" w:right="300" w:hanging="7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Equipe de Planejamento da Contratação</w:t>
            </w:r>
          </w:p>
        </w:tc>
      </w:tr>
    </w:tbl>
    <w:p w:rsidR="00000000" w:rsidDel="00000000" w:rsidP="00000000" w:rsidRDefault="00000000" w:rsidRPr="00000000" w14:paraId="0000003D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RISCOS - FASE DE LICITAÇÃO</w:t>
      </w:r>
      <w:r w:rsidDel="00000000" w:rsidR="00000000" w:rsidRPr="00000000">
        <w:rPr>
          <w:rtl w:val="0"/>
        </w:rPr>
      </w:r>
    </w:p>
    <w:tbl>
      <w:tblPr>
        <w:tblStyle w:val="Table3"/>
        <w:tblW w:w="90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5"/>
        <w:gridCol w:w="1085"/>
        <w:gridCol w:w="3035"/>
        <w:gridCol w:w="3050"/>
        <w:tblGridChange w:id="0">
          <w:tblGrid>
            <w:gridCol w:w="1865"/>
            <w:gridCol w:w="1085"/>
            <w:gridCol w:w="3035"/>
            <w:gridCol w:w="305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Risco 3</w:t>
            </w:r>
          </w:p>
        </w:tc>
        <w:tc>
          <w:tcPr>
            <w:gridSpan w:val="3"/>
            <w:tcBorders>
              <w:top w:color="000001" w:space="0" w:sz="6" w:val="single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ind w:left="141.732283464566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Deficiências do ato convocatório; critérios de julgamento, prazos e sanções, entre outros.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Probabilidade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92d05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Baixa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141.73228346456688" w:right="53.97637795275727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Dano potencial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="276" w:lineRule="auto"/>
              <w:ind w:left="141.732283464566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Encerramento da Licitação.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Preventiva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283.4645669291342" w:right="200" w:hanging="7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="276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Capacitação de servidores; incorporar as atualizações da legislação (acórdãos TCU); Estabelecer rotinas de revisão.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283.4645669291342" w:right="100" w:hanging="7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Equipe de Licitação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de Contingência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283.4645669291342" w:right="200" w:hanging="7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141.732283464566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Suspensão da licitação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283.4645669291342" w:right="300" w:hanging="7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Equipe de Licitação</w:t>
            </w:r>
          </w:p>
        </w:tc>
      </w:tr>
    </w:tbl>
    <w:p w:rsidR="00000000" w:rsidDel="00000000" w:rsidP="00000000" w:rsidRDefault="00000000" w:rsidRPr="00000000" w14:paraId="0000005B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5C">
      <w:pPr>
        <w:spacing w:after="240"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RISCOS – GESTÃO DO CONTRATO</w:t>
      </w:r>
      <w:r w:rsidDel="00000000" w:rsidR="00000000" w:rsidRPr="00000000">
        <w:rPr>
          <w:rtl w:val="0"/>
        </w:rPr>
      </w:r>
    </w:p>
    <w:tbl>
      <w:tblPr>
        <w:tblStyle w:val="Table4"/>
        <w:tblW w:w="90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50"/>
        <w:gridCol w:w="1115"/>
        <w:gridCol w:w="3005"/>
        <w:gridCol w:w="3065"/>
        <w:tblGridChange w:id="0">
          <w:tblGrid>
            <w:gridCol w:w="1850"/>
            <w:gridCol w:w="1115"/>
            <w:gridCol w:w="3005"/>
            <w:gridCol w:w="30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Risco 4</w:t>
            </w:r>
          </w:p>
        </w:tc>
        <w:tc>
          <w:tcPr>
            <w:gridSpan w:val="3"/>
            <w:tcBorders>
              <w:top w:color="000001" w:space="0" w:sz="6" w:val="single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="276" w:lineRule="auto"/>
              <w:ind w:left="141.732283464566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Inércia frente a descumprimento de obrigações contratuais. Falha ou omissão no registro dos atos e fatos do contrato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Probabilidade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ff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ind w:left="141.7322834645668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Média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141.73228346456688" w:right="20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Dano potencial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="276" w:lineRule="auto"/>
              <w:ind w:left="141.73228346456688" w:firstLine="0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Deficiência na prestação dos serviços. Prejuízos financeiros a Administração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Preventiva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0" w:lineRule="auto"/>
              <w:ind w:left="141.7322834645671" w:right="2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ind w:left="141.73228346456688" w:firstLine="0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Capacitação de servidores; Conhecimento dos termos contratuais e do serviço a ser executado. Conhecimentos das responsabilidades dos fiscais.</w:t>
            </w:r>
          </w:p>
          <w:p w:rsidR="00000000" w:rsidDel="00000000" w:rsidP="00000000" w:rsidRDefault="00000000" w:rsidRPr="00000000" w14:paraId="0000006E">
            <w:pPr>
              <w:spacing w:before="0" w:lineRule="auto"/>
              <w:ind w:left="141.7322834645668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Estabelecer modelos e rotinas de acompanhamento contratual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ind w:left="141.7322834645671" w:righ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before="0" w:lineRule="auto"/>
              <w:ind w:left="141.7322834645671" w:righ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Fiscal técnico e administrativo, Gestor do Contrato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de Contingência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0" w:lineRule="auto"/>
              <w:ind w:left="141.7322834645671" w:right="2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0" w:lineRule="auto"/>
              <w:ind w:left="141.732283464566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Sanções administrativas. Responsabilização da Gestão e fiscalização contratual.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0" w:lineRule="auto"/>
              <w:ind w:left="141.732283464567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Fiscal técnico e administrativo, Gestor do Contrato</w:t>
            </w:r>
          </w:p>
        </w:tc>
      </w:tr>
    </w:tbl>
    <w:p w:rsidR="00000000" w:rsidDel="00000000" w:rsidP="00000000" w:rsidRDefault="00000000" w:rsidRPr="00000000" w14:paraId="0000007B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5"/>
        <w:tblW w:w="90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5"/>
        <w:gridCol w:w="1055"/>
        <w:gridCol w:w="3050"/>
        <w:gridCol w:w="3065"/>
        <w:tblGridChange w:id="0">
          <w:tblGrid>
            <w:gridCol w:w="1865"/>
            <w:gridCol w:w="1055"/>
            <w:gridCol w:w="3050"/>
            <w:gridCol w:w="306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ind w:left="283.4645669291337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Risco 5</w:t>
            </w:r>
          </w:p>
        </w:tc>
        <w:tc>
          <w:tcPr>
            <w:gridSpan w:val="3"/>
            <w:tcBorders>
              <w:top w:color="000001" w:space="0" w:sz="6" w:val="single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ind w:left="283.464566929133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Descumprimento das obrigações trabalhistas, previdenciárias e com FGTS da Contratada.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ind w:left="283.4645669291337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Probabilidade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ff99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ind w:left="141.7322834645671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283.46456692913375" w:right="20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Dano potencial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="276" w:lineRule="auto"/>
              <w:ind w:left="283.46456692913375" w:firstLine="0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Responsabilização subsidiária da Administração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0" w:lineRule="auto"/>
              <w:ind w:left="283.4645669291337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Preventiva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0" w:lineRule="auto"/>
              <w:ind w:left="141.7322834645671" w:right="2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ind w:left="283.46456692913375" w:firstLine="0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Capacitação de servidores; Previsão expressa no termo de contrato. Conhecimento dos termos contratuais. Conhecimentos das responsabilidades dos fiscais.</w:t>
            </w:r>
          </w:p>
          <w:p w:rsidR="00000000" w:rsidDel="00000000" w:rsidP="00000000" w:rsidRDefault="00000000" w:rsidRPr="00000000" w14:paraId="0000008D">
            <w:pPr>
              <w:spacing w:before="0" w:lineRule="auto"/>
              <w:ind w:left="283.4645669291337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Estabelecer modelos e rotinas de acompanhamento contratual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ind w:left="141.7322834645671" w:righ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Fiscal técnico e administrativo, Gestor do Contrato.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0" w:lineRule="auto"/>
              <w:ind w:left="283.4645669291337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 de Contingência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cccccc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0" w:lineRule="auto"/>
              <w:ind w:left="141.7322834645671" w:right="2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0" w:lineRule="auto"/>
              <w:ind w:left="283.4645669291337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Conferência rotineira do cumprimento das obrigações trabalhistas, previdenciárias e com FGTS da Contratada.</w:t>
            </w:r>
          </w:p>
          <w:p w:rsidR="00000000" w:rsidDel="00000000" w:rsidP="00000000" w:rsidRDefault="00000000" w:rsidRPr="00000000" w14:paraId="00000096">
            <w:pPr>
              <w:spacing w:after="240" w:before="0" w:lineRule="auto"/>
              <w:ind w:left="283.46456692913375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Estabelecer modelos e rotinas de acompanhamento contratual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6" w:val="single"/>
              <w:right w:color="000001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0" w:lineRule="auto"/>
              <w:ind w:left="141.732283464567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Fiscal técnico e administrativo, Gestor do Contrato.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7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Avaliação Qualitativa dos Riscos:</w:t>
      </w:r>
    </w:p>
    <w:p w:rsidR="00000000" w:rsidDel="00000000" w:rsidP="00000000" w:rsidRDefault="00000000" w:rsidRPr="00000000" w14:paraId="0000009F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tabela a seguir apresenta a Matriz Probabilidade x Impacto, instrumento de apoio para a definição dos critérios de classificação do nível de risco. </w:t>
      </w:r>
    </w:p>
    <w:p w:rsidR="00000000" w:rsidDel="00000000" w:rsidP="00000000" w:rsidRDefault="00000000" w:rsidRPr="00000000" w14:paraId="000000A0">
      <w:pPr>
        <w:keepNext w:val="0"/>
        <w:widowControl w:val="0"/>
        <w:spacing w:line="243.90263557434082" w:lineRule="auto"/>
        <w:ind w:left="1204.0799713134766" w:right="1220.001220703125" w:firstLine="276.480026245117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97.799987792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"/>
        <w:gridCol w:w="2520"/>
        <w:gridCol w:w="1140"/>
        <w:gridCol w:w="1260"/>
        <w:gridCol w:w="1230"/>
        <w:gridCol w:w="1230"/>
        <w:gridCol w:w="1305"/>
        <w:tblGridChange w:id="0">
          <w:tblGrid>
            <w:gridCol w:w="375"/>
            <w:gridCol w:w="2520"/>
            <w:gridCol w:w="1140"/>
            <w:gridCol w:w="1260"/>
            <w:gridCol w:w="1230"/>
            <w:gridCol w:w="1230"/>
            <w:gridCol w:w="130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widowControl w:val="0"/>
              <w:spacing w:line="231.23263835906982" w:lineRule="auto"/>
              <w:ind w:left="129.01687622070312" w:right="454.18243408203125" w:hanging="1.195220947265625"/>
              <w:rPr>
                <w:color w:val="00b050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LEGENDA NÍVEL DE  RISCO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widowControl w:val="0"/>
              <w:jc w:val="center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PROBABILIDADE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widowControl w:val="0"/>
              <w:spacing w:line="276" w:lineRule="auto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widowControl w:val="0"/>
              <w:ind w:left="0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1 MUITO BAIXA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widowControl w:val="0"/>
              <w:ind w:left="0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2 BAIXA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widowControl w:val="0"/>
              <w:ind w:left="0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3 MÉDIA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widowControl w:val="0"/>
              <w:ind w:left="0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4 ALTA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widowControl w:val="0"/>
              <w:ind w:left="0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5 MUITO ALTA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widowControl w:val="0"/>
              <w:jc w:val="center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33.20000012715658"/>
                <w:szCs w:val="33.20000012715658"/>
                <w:vertAlign w:val="subscript"/>
                <w:rtl w:val="0"/>
              </w:rPr>
              <w:t xml:space="preserve">IMPACTO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widowControl w:val="0"/>
              <w:ind w:left="118.76647949218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5  MUITO ALTO 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widowControl w:val="0"/>
              <w:ind w:left="119.366455078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  <w:rtl w:val="0"/>
              </w:rPr>
              <w:t xml:space="preserve">5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widowControl w:val="0"/>
              <w:ind w:left="134.512939453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  <w:rtl w:val="0"/>
              </w:rPr>
              <w:t xml:space="preserve">10 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widowControl w:val="0"/>
              <w:ind w:left="134.51232910156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ffc00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ffc000" w:val="clear"/>
                <w:rtl w:val="0"/>
              </w:rPr>
              <w:t xml:space="preserve">15 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widowControl w:val="0"/>
              <w:ind w:left="118.5772705078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ffc00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ffc000" w:val="clear"/>
                <w:rtl w:val="0"/>
              </w:rPr>
              <w:t xml:space="preserve">20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widowControl w:val="0"/>
              <w:ind w:left="118.576660156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red"/>
                <w:rtl w:val="0"/>
              </w:rPr>
              <w:t xml:space="preserve">25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widowControl w:val="0"/>
              <w:spacing w:line="276" w:lineRule="auto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widowControl w:val="0"/>
              <w:ind w:left="112.98965454101562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4 ALTO 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widowControl w:val="0"/>
              <w:ind w:left="113.589782714843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  <w:rtl w:val="0"/>
              </w:rPr>
              <w:t xml:space="preserve">4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widowControl w:val="0"/>
              <w:ind w:left="120.96740722656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  <w:rtl w:val="0"/>
              </w:rPr>
              <w:t xml:space="preserve">8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widowControl w:val="0"/>
              <w:ind w:left="134.51232910156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  <w:rtl w:val="0"/>
              </w:rPr>
              <w:t xml:space="preserve">12 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widowControl w:val="0"/>
              <w:ind w:left="139.4403076171875" w:firstLine="0"/>
              <w:rPr>
                <w:shd w:fill="ffc000" w:val="clear"/>
              </w:rPr>
            </w:pPr>
            <w:r w:rsidDel="00000000" w:rsidR="00000000" w:rsidRPr="00000000">
              <w:rPr>
                <w:shd w:fill="ffc000" w:val="clear"/>
                <w:rtl w:val="0"/>
              </w:rPr>
              <w:t xml:space="preserve">16 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widowControl w:val="0"/>
              <w:ind w:left="118.57666015625" w:firstLine="0"/>
              <w:rPr>
                <w:rFonts w:ascii="Arial" w:cs="Arial" w:eastAsia="Arial" w:hAnsi="Arial"/>
                <w:sz w:val="19.920000076293945"/>
                <w:szCs w:val="19.920000076293945"/>
                <w:shd w:fill="ffc000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19.920000076293945"/>
                <w:szCs w:val="19.920000076293945"/>
                <w:shd w:fill="ffc000" w:val="clear"/>
                <w:rtl w:val="0"/>
              </w:rPr>
              <w:t xml:space="preserve">20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widowControl w:val="0"/>
              <w:spacing w:line="276" w:lineRule="auto"/>
              <w:rPr>
                <w:rFonts w:ascii="Arial" w:cs="Arial" w:eastAsia="Arial" w:hAnsi="Arial"/>
                <w:sz w:val="19.920000076293945"/>
                <w:szCs w:val="19.920000076293945"/>
                <w:shd w:fill="ffc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widowControl w:val="0"/>
              <w:ind w:left="118.76647949218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3 MÉDIO 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widowControl w:val="0"/>
              <w:ind w:left="119.366455078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  <w:rtl w:val="0"/>
              </w:rPr>
              <w:t xml:space="preserve">3 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widowControl w:val="0"/>
              <w:ind w:left="120.3698730468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  <w:rtl w:val="0"/>
              </w:rPr>
              <w:t xml:space="preserve">6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widowControl w:val="0"/>
              <w:ind w:left="121.16638183593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  <w:rtl w:val="0"/>
              </w:rPr>
              <w:t xml:space="preserve">9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widowControl w:val="0"/>
              <w:ind w:left="134.512939453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  <w:rtl w:val="0"/>
              </w:rPr>
              <w:t xml:space="preserve">12 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widowControl w:val="0"/>
              <w:ind w:left="139.439697265625" w:firstLine="0"/>
              <w:rPr>
                <w:shd w:fill="ffc000" w:val="clear"/>
              </w:rPr>
            </w:pPr>
            <w:r w:rsidDel="00000000" w:rsidR="00000000" w:rsidRPr="00000000">
              <w:rPr>
                <w:shd w:fill="ffc000" w:val="clear"/>
                <w:rtl w:val="0"/>
              </w:rPr>
              <w:t xml:space="preserve">15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widowControl w:val="0"/>
              <w:spacing w:line="276" w:lineRule="auto"/>
              <w:rPr>
                <w:shd w:fill="ffc0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widowControl w:val="0"/>
              <w:ind w:left="116.17691040039062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2 BAIXO 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widowControl w:val="0"/>
              <w:ind w:left="116.77673339843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  <w:rtl w:val="0"/>
              </w:rPr>
              <w:t xml:space="preserve">2 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widowControl w:val="0"/>
              <w:ind w:left="115.39001464843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  <w:rtl w:val="0"/>
              </w:rPr>
              <w:t xml:space="preserve">4 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widowControl w:val="0"/>
              <w:ind w:left="120.3692626953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  <w:rtl w:val="0"/>
              </w:rPr>
              <w:t xml:space="preserve">6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widowControl w:val="0"/>
              <w:ind w:left="120.96740722656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  <w:rtl w:val="0"/>
              </w:rPr>
              <w:t xml:space="preserve">8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widowControl w:val="0"/>
              <w:ind w:left="134.51232910156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  <w:rtl w:val="0"/>
              </w:rPr>
              <w:t xml:space="preserve">10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widowControl w:val="0"/>
              <w:spacing w:line="276" w:lineRule="auto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widowControl w:val="0"/>
              <w:ind w:left="132.11288452148438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rtl w:val="0"/>
              </w:rPr>
              <w:t xml:space="preserve">1 MUITO BAIXO 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widowControl w:val="0"/>
              <w:ind w:left="132.7130126953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  <w:rtl w:val="0"/>
              </w:rPr>
              <w:t xml:space="preserve">1 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widowControl w:val="0"/>
              <w:ind w:left="118.577270507812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  <w:rtl w:val="0"/>
              </w:rPr>
              <w:t xml:space="preserve">2 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widowControl w:val="0"/>
              <w:ind w:left="121.16638183593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00b050" w:val="clear"/>
                <w:rtl w:val="0"/>
              </w:rPr>
              <w:t xml:space="preserve">3 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widowControl w:val="0"/>
              <w:ind w:left="115.39001464843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  <w:rtl w:val="0"/>
              </w:rPr>
              <w:t xml:space="preserve">4 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widowControl w:val="0"/>
              <w:ind w:left="121.1663818359375" w:firstLine="0"/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19.920000076293945"/>
                <w:szCs w:val="19.920000076293945"/>
                <w:shd w:fill="92d050" w:val="clear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2">
      <w:pPr>
        <w:keepNext w:val="0"/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Matriz de cálculo de Risco, sendo muito alto: &gt;21 a 25; Alto: &gt;13 a 20; Médio: &gt;7 a 12; Baixo: &gt; 4 a 6; Muito Baixo:  1 a 3 </w:t>
      </w:r>
    </w:p>
    <w:p w:rsidR="00000000" w:rsidDel="00000000" w:rsidP="00000000" w:rsidRDefault="00000000" w:rsidRPr="00000000" w14:paraId="000000D3">
      <w:pPr>
        <w:keepNext w:val="0"/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produto da probabilidade pelo impacto de cada risco deve se enquadrar em uma região da matriz probabilidade x impacto. Caso o risco enquadre-se na região verde e verde claro, seu nível de risco é entendido respectivamente como muito baixo e baixo, se estiver na região amarela seu nível de risco é considerado médio, se estiver na região alaranjada entende-se como risco alto; e se estiver na região vermelha, entende-se como nível de risco muito alto. Nos casos de riscos classificados como médio, alto e muito alto deve-se adotar medidas preventivas previstas.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ANÁLISE FINAL: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Através da matriz, percebe-se que os Riscos 1, 4, 5 poderão comprometer o resultado da contratação. Desse modo esse risco deve ser mitigado por meio de ações de prevenção registradas nesse processo administrativo. Os Riscos 2 e 3 devem ser aceitos, providenciando-se as medidas de mitigação. (AVALIAR CASO A CASO)</w:t>
      </w:r>
    </w:p>
    <w:p w:rsidR="00000000" w:rsidDel="00000000" w:rsidP="00000000" w:rsidRDefault="00000000" w:rsidRPr="00000000" w14:paraId="000000D7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Assinaturas </w:t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before="240" w:lineRule="auto"/>
        <w:ind w:left="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ORIENTAÇÕES:</w:t>
      </w:r>
    </w:p>
    <w:p w:rsidR="00000000" w:rsidDel="00000000" w:rsidP="00000000" w:rsidRDefault="00000000" w:rsidRPr="00000000" w14:paraId="000000DC">
      <w:pPr>
        <w:spacing w:after="240" w:before="240" w:lineRule="auto"/>
        <w:ind w:left="8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 gerenciamento de riscos permite ações contínuas de planejamento, organização e controle dos recursos relacionados aos riscos que possam comprometer o sucesso da contratação, da execução do objeto e da gestão contratual. 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pretendidos.  </w:t>
      </w:r>
    </w:p>
    <w:p w:rsidR="00000000" w:rsidDel="00000000" w:rsidP="00000000" w:rsidRDefault="00000000" w:rsidRPr="00000000" w14:paraId="000000DD">
      <w:pPr>
        <w:spacing w:after="240" w:before="240" w:lineRule="auto"/>
        <w:ind w:left="8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Para cada risco identificado, define-se: a probabilidade de ocorrência dos eventos, os possíveis danos e impacto caso o risco ocorra, possíveis ações preventivas e de contingência (respostas aos riscos), a identificação de responsáveis pelas ações, bem como o registro e o acompanhamento das ações de tratamento dos riscos. Parâmetros escalares podem ser utilizados para representar os níveis de probabilidade e impacto que, após a multiplicação, resultarão nos níveis de risco, que direcionarão as ações relacionadas aos riscos durante as fases de planejamento, estudos técnicos preliminares, termo de referência, seleção de fornecedor e gestão do contrato. </w:t>
      </w:r>
    </w:p>
    <w:p w:rsidR="00000000" w:rsidDel="00000000" w:rsidP="00000000" w:rsidRDefault="00000000" w:rsidRPr="00000000" w14:paraId="000000DE">
      <w:pPr>
        <w:spacing w:after="240" w:before="240" w:lineRule="auto"/>
        <w:ind w:left="8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Obs: Este é apenas um modelo, com algumas sugestões de possíveis riscos e ações mitigadoras, que deverá ser incorporado a cada contratação! deverão ser levantados possíveis riscos de acordo com a situação.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240" w:before="240" w:lineRule="auto"/>
        <w:ind w:left="8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Deverá ser assinado pela equipe de planejamento da contratação e aprovado pela autoridade competente!</w:t>
      </w:r>
    </w:p>
    <w:p w:rsidR="00000000" w:rsidDel="00000000" w:rsidP="00000000" w:rsidRDefault="00000000" w:rsidRPr="00000000" w14:paraId="000000E0">
      <w:pPr>
        <w:spacing w:after="240" w:before="240" w:lineRule="auto"/>
        <w:ind w:left="8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20" w:line="276" w:lineRule="auto"/>
        <w:ind w:right="-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E2">
      <w:pPr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Verdan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1"/>
      <w:keepLines w:val="0"/>
      <w:pageBreakBefore w:val="0"/>
      <w:widowControl w:val="1"/>
      <w:spacing w:after="0" w:before="0" w:line="240" w:lineRule="auto"/>
      <w:ind w:left="-708.6614173228347" w:right="-1114.7244094488178" w:firstLine="0"/>
      <w:jc w:val="center"/>
      <w:rPr>
        <w:rFonts w:ascii="Calibri" w:cs="Calibri" w:eastAsia="Calibri" w:hAnsi="Calibri"/>
        <w:b w:val="1"/>
        <w:color w:val="434343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434343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24"/>
        <w:szCs w:val="24"/>
        <w:u w:val="none"/>
        <w:vertAlign w:val="baseline"/>
        <w:rtl w:val="0"/>
      </w:rPr>
      <w:t xml:space="preserve">BALNEÁRIO CAMBORIÚ- CAPITAL CATARINENSE DO TURISMO</w:t>
    </w:r>
  </w:p>
  <w:p w:rsidR="00000000" w:rsidDel="00000000" w:rsidP="00000000" w:rsidRDefault="00000000" w:rsidRPr="00000000" w14:paraId="000000ED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color w:val="434343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4a Avenida, nº 250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|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 Centro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- 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BC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| Cep 88.33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0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104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| Fone: +55 </w:t>
    </w:r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47 3261-0000</w:t>
    </w:r>
  </w:p>
  <w:p w:rsidR="00000000" w:rsidDel="00000000" w:rsidP="00000000" w:rsidRDefault="00000000" w:rsidRPr="00000000" w14:paraId="000000EE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color w:val="434343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34343"/>
        <w:sz w:val="18"/>
        <w:szCs w:val="18"/>
        <w:u w:val="none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55cc"/>
          <w:sz w:val="18"/>
          <w:szCs w:val="18"/>
          <w:u w:val="single"/>
          <w:vertAlign w:val="baseline"/>
          <w:rtl w:val="0"/>
        </w:rPr>
        <w:t xml:space="preserve">www.bc.sc.gov.br</w:t>
      </w:r>
    </w:hyperlink>
    <w:r w:rsidDel="00000000" w:rsidR="00000000" w:rsidRPr="00000000">
      <w:rPr>
        <w:rFonts w:ascii="Calibri" w:cs="Calibri" w:eastAsia="Calibri" w:hAnsi="Calibri"/>
        <w:b w:val="1"/>
        <w:color w:val="434343"/>
        <w:sz w:val="18"/>
        <w:szCs w:val="18"/>
        <w:rtl w:val="0"/>
      </w:rPr>
      <w:t xml:space="preserve"> |</w:t>
    </w:r>
    <w:hyperlink r:id="rId2">
      <w:r w:rsidDel="00000000" w:rsidR="00000000" w:rsidRPr="00000000">
        <w:rPr>
          <w:rFonts w:ascii="Calibri" w:cs="Calibri" w:eastAsia="Calibri" w:hAnsi="Calibri"/>
          <w:b w:val="1"/>
          <w:color w:val="1155cc"/>
          <w:sz w:val="18"/>
          <w:szCs w:val="18"/>
          <w:u w:val="single"/>
          <w:rtl w:val="0"/>
        </w:rPr>
        <w:t xml:space="preserve"> www.emasa.com.br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1"/>
      <w:keepLines w:val="0"/>
      <w:pageBreakBefore w:val="0"/>
      <w:widowControl w:val="0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7"/>
      <w:tblW w:w="10815.0" w:type="dxa"/>
      <w:jc w:val="left"/>
      <w:tblInd w:w="-738.0" w:type="dxa"/>
      <w:tblBorders>
        <w:top w:color="000001" w:space="0" w:sz="8" w:val="single"/>
        <w:left w:color="000001" w:space="0" w:sz="8" w:val="single"/>
        <w:bottom w:color="000001" w:space="0" w:sz="8" w:val="single"/>
        <w:right w:color="000001" w:space="0" w:sz="8" w:val="single"/>
        <w:insideH w:color="000001" w:space="0" w:sz="8" w:val="single"/>
        <w:insideV w:color="000001" w:space="0" w:sz="8" w:val="single"/>
      </w:tblBorders>
      <w:tblLayout w:type="fixed"/>
      <w:tblLook w:val="0000"/>
    </w:tblPr>
    <w:tblGrid>
      <w:gridCol w:w="6300"/>
      <w:gridCol w:w="4515"/>
      <w:tblGridChange w:id="0">
        <w:tblGrid>
          <w:gridCol w:w="6300"/>
          <w:gridCol w:w="451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000000" w:space="0" w:sz="8" w:val="single"/>
            <w:right w:color="ffffff" w:space="0" w:sz="8" w:val="single"/>
          </w:tcBorders>
          <w:shd w:fill="ffffff" w:val="clear"/>
          <w:tcMar>
            <w:left w:w="51.0" w:type="dxa"/>
          </w:tcMar>
        </w:tcPr>
        <w:p w:rsidR="00000000" w:rsidDel="00000000" w:rsidP="00000000" w:rsidRDefault="00000000" w:rsidRPr="00000000" w14:paraId="000000E4">
          <w:pPr>
            <w:pStyle w:val="Heading2"/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5">
          <w:pPr>
            <w:pStyle w:val="Heading2"/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ESTADO DE SANTA CATARINA</w:t>
          </w:r>
        </w:p>
        <w:p w:rsidR="00000000" w:rsidDel="00000000" w:rsidP="00000000" w:rsidRDefault="00000000" w:rsidRPr="00000000" w14:paraId="000000E6">
          <w:pPr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Município de Balneário </w:t>
          </w:r>
        </w:p>
        <w:p w:rsidR="00000000" w:rsidDel="00000000" w:rsidP="00000000" w:rsidRDefault="00000000" w:rsidRPr="00000000" w14:paraId="000000E7">
          <w:pPr>
            <w:pageBreakBefore w:val="0"/>
            <w:tabs>
              <w:tab w:val="left" w:leader="none" w:pos="0"/>
            </w:tabs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Empresa Municipal de Água e Saneamento de Balneário Camboriú - EMASA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000000" w:space="0" w:sz="8" w:val="single"/>
            <w:right w:color="ffffff" w:space="0" w:sz="8" w:val="single"/>
          </w:tcBorders>
          <w:shd w:fill="ffffff" w:val="clear"/>
          <w:tcMar>
            <w:left w:w="51.0" w:type="dxa"/>
          </w:tcMar>
        </w:tcPr>
        <w:p w:rsidR="00000000" w:rsidDel="00000000" w:rsidP="00000000" w:rsidRDefault="00000000" w:rsidRPr="00000000" w14:paraId="000000E8">
          <w:pPr>
            <w:pageBreakBefore w:val="0"/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9">
          <w:pPr>
            <w:pageBreakBefore w:val="0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933688" cy="65655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688" cy="6565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A">
    <w:pPr>
      <w:keepNext w:val="1"/>
      <w:keepLines w:val="0"/>
      <w:pageBreakBefore w:val="0"/>
      <w:widowControl w:val="1"/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851"/>
        <w:tab w:val="left" w:leader="none" w:pos="1701"/>
        <w:tab w:val="left" w:leader="none" w:pos="2552"/>
        <w:tab w:val="left" w:leader="none" w:pos="3403"/>
        <w:tab w:val="left" w:leader="none" w:pos="4254"/>
        <w:tab w:val="left" w:leader="none" w:pos="5105"/>
        <w:tab w:val="left" w:leader="none" w:pos="5955"/>
        <w:tab w:val="left" w:leader="none" w:pos="6806"/>
        <w:tab w:val="left" w:leader="none" w:pos="7657"/>
        <w:tab w:val="left" w:leader="none" w:pos="8508"/>
        <w:tab w:val="left" w:leader="none" w:pos="9359"/>
        <w:tab w:val="left" w:leader="none" w:pos="10209"/>
        <w:tab w:val="left" w:leader="none" w:pos="11060"/>
        <w:tab w:val="left" w:leader="none" w:pos="11911"/>
        <w:tab w:val="left" w:leader="none" w:pos="12762"/>
        <w:tab w:val="left" w:leader="none" w:pos="13613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Verdana" w:cs="Verdana" w:eastAsia="Verdana" w:hAnsi="Verdana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1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lneariocamboriu.sc.gov.br/" TargetMode="External"/><Relationship Id="rId2" Type="http://schemas.openxmlformats.org/officeDocument/2006/relationships/hyperlink" Target="http://www.emasa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